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C4" w:rsidRDefault="003E2FDB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广东岭南职业技术学院</w:t>
      </w:r>
      <w:r w:rsidRPr="005D383A">
        <w:rPr>
          <w:rFonts w:ascii="黑体" w:eastAsia="黑体" w:hint="eastAsia"/>
          <w:sz w:val="32"/>
          <w:szCs w:val="32"/>
        </w:rPr>
        <w:t>2017</w:t>
      </w:r>
      <w:r w:rsidRPr="005D383A">
        <w:rPr>
          <w:rFonts w:ascii="黑体" w:eastAsia="黑体" w:hint="eastAsia"/>
          <w:sz w:val="32"/>
          <w:szCs w:val="32"/>
        </w:rPr>
        <w:t>年面向</w:t>
      </w:r>
      <w:r>
        <w:rPr>
          <w:rFonts w:ascii="黑体" w:eastAsia="黑体" w:hint="eastAsia"/>
          <w:b/>
          <w:sz w:val="32"/>
          <w:szCs w:val="32"/>
        </w:rPr>
        <w:t>普通高中自主招生</w:t>
      </w:r>
    </w:p>
    <w:p w:rsidR="00AE20C4" w:rsidRDefault="005D383A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工商企业管理专业</w:t>
      </w:r>
      <w:r w:rsidR="003E2FDB" w:rsidRPr="005D383A">
        <w:rPr>
          <w:rFonts w:ascii="黑体" w:eastAsia="黑体" w:hint="eastAsia"/>
          <w:sz w:val="32"/>
          <w:szCs w:val="32"/>
        </w:rPr>
        <w:t>职业适应</w:t>
      </w:r>
      <w:r w:rsidR="003E2FDB">
        <w:rPr>
          <w:rFonts w:ascii="黑体" w:eastAsia="黑体" w:hint="eastAsia"/>
          <w:b/>
          <w:sz w:val="32"/>
          <w:szCs w:val="32"/>
        </w:rPr>
        <w:t>性测试（面试）大纲</w:t>
      </w:r>
    </w:p>
    <w:p w:rsidR="00AE20C4" w:rsidRDefault="003E2FDB">
      <w:pPr>
        <w:spacing w:line="360" w:lineRule="auto"/>
        <w:ind w:left="1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一、面试内容和要求</w:t>
      </w:r>
    </w:p>
    <w:p w:rsidR="00AE20C4" w:rsidRDefault="003E2FDB">
      <w:pPr>
        <w:spacing w:line="360" w:lineRule="auto"/>
        <w:ind w:left="36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（一）综合素质</w:t>
      </w:r>
      <w:bookmarkStart w:id="0" w:name="_GoBack"/>
      <w:bookmarkEnd w:id="0"/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</w:rPr>
        <w:t>学生自我介绍和考官提问环节：了解考生的语言组织及表达能力、思想品德、心理素质、应变能力等内容。</w:t>
      </w:r>
    </w:p>
    <w:p w:rsidR="00AE20C4" w:rsidRDefault="003E2FDB">
      <w:pPr>
        <w:pStyle w:val="a3"/>
        <w:spacing w:line="360" w:lineRule="auto"/>
        <w:ind w:firstLine="482"/>
        <w:rPr>
          <w:rFonts w:hAnsi="宋体"/>
          <w:b/>
        </w:rPr>
      </w:pPr>
      <w:r>
        <w:rPr>
          <w:rFonts w:hAnsi="宋体" w:hint="eastAsia"/>
          <w:b/>
        </w:rPr>
        <w:t>1.</w:t>
      </w:r>
      <w:r>
        <w:rPr>
          <w:rFonts w:hAnsi="宋体" w:hint="eastAsia"/>
          <w:b/>
        </w:rPr>
        <w:t>心理素质</w:t>
      </w:r>
      <w:r>
        <w:rPr>
          <w:rFonts w:hAnsi="宋体" w:hint="eastAsia"/>
          <w:b/>
        </w:rPr>
        <w:t xml:space="preserve">  </w:t>
      </w:r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</w:rPr>
        <w:t>活泼、积极、上进，有自信心，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能够冷静地处理问题，有一定的情绪调节和自控能力。</w:t>
      </w:r>
    </w:p>
    <w:p w:rsidR="00AE20C4" w:rsidRDefault="003E2FDB">
      <w:pPr>
        <w:pStyle w:val="a3"/>
        <w:spacing w:line="360" w:lineRule="auto"/>
        <w:ind w:firstLine="482"/>
        <w:rPr>
          <w:rFonts w:hAnsi="宋体"/>
          <w:b/>
        </w:rPr>
      </w:pPr>
      <w:r>
        <w:rPr>
          <w:rFonts w:hAnsi="宋体" w:hint="eastAsia"/>
          <w:b/>
        </w:rPr>
        <w:t>2.</w:t>
      </w:r>
      <w:r>
        <w:rPr>
          <w:rFonts w:hAnsi="宋体" w:hint="eastAsia"/>
          <w:b/>
        </w:rPr>
        <w:t>仪表仪态</w:t>
      </w:r>
      <w:r>
        <w:rPr>
          <w:rFonts w:hAnsi="宋体" w:hint="eastAsia"/>
          <w:b/>
        </w:rPr>
        <w:t xml:space="preserve">   </w:t>
      </w:r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</w:rPr>
        <w:t>衣着整洁，仪表得体，符合职业特点；举止大方，仪态自然，肢体语言运用得当。</w:t>
      </w:r>
    </w:p>
    <w:p w:rsidR="00AE20C4" w:rsidRDefault="003E2FDB">
      <w:pPr>
        <w:pStyle w:val="a3"/>
        <w:spacing w:line="360" w:lineRule="auto"/>
        <w:ind w:firstLine="482"/>
        <w:rPr>
          <w:rFonts w:hAnsi="宋体"/>
          <w:b/>
        </w:rPr>
      </w:pPr>
      <w:r>
        <w:rPr>
          <w:rFonts w:hAnsi="宋体" w:hint="eastAsia"/>
          <w:b/>
        </w:rPr>
        <w:t>3.</w:t>
      </w:r>
      <w:r>
        <w:rPr>
          <w:rFonts w:hAnsi="宋体" w:hint="eastAsia"/>
          <w:b/>
        </w:rPr>
        <w:t>语言表达</w:t>
      </w:r>
      <w:r>
        <w:rPr>
          <w:rFonts w:hAnsi="宋体" w:hint="eastAsia"/>
          <w:b/>
        </w:rPr>
        <w:t xml:space="preserve">   </w:t>
      </w:r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</w:rPr>
        <w:t>口齿清楚，语速适中，表达准确，简洁、流畅，能较准确地表达自己的观点，并能对提问做出恰当的回应。</w:t>
      </w:r>
    </w:p>
    <w:p w:rsidR="00AE20C4" w:rsidRDefault="003E2FDB">
      <w:pPr>
        <w:pStyle w:val="a3"/>
        <w:spacing w:line="360" w:lineRule="auto"/>
        <w:ind w:firstLine="482"/>
        <w:rPr>
          <w:rFonts w:hAnsi="宋体"/>
          <w:b/>
        </w:rPr>
      </w:pPr>
      <w:r>
        <w:rPr>
          <w:rFonts w:hAnsi="宋体" w:hint="eastAsia"/>
          <w:b/>
        </w:rPr>
        <w:t>4.</w:t>
      </w:r>
      <w:r>
        <w:rPr>
          <w:rFonts w:hAnsi="宋体" w:hint="eastAsia"/>
          <w:b/>
        </w:rPr>
        <w:t>思维品质</w:t>
      </w:r>
      <w:r>
        <w:rPr>
          <w:rFonts w:hAnsi="宋体" w:hint="eastAsia"/>
          <w:b/>
        </w:rPr>
        <w:t xml:space="preserve">  </w:t>
      </w:r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  <w:kern w:val="0"/>
        </w:rPr>
        <w:t>能正确理解和分析问题，抓住要点，思维</w:t>
      </w:r>
      <w:r>
        <w:rPr>
          <w:rFonts w:hAnsi="宋体" w:hint="eastAsia"/>
          <w:kern w:val="0"/>
        </w:rPr>
        <w:t xml:space="preserve"> </w:t>
      </w:r>
      <w:r>
        <w:rPr>
          <w:rFonts w:hAnsi="宋体" w:hint="eastAsia"/>
          <w:kern w:val="0"/>
        </w:rPr>
        <w:t>灵活，条理清晰，逻辑性强，有较好的应变能力。</w:t>
      </w:r>
    </w:p>
    <w:p w:rsidR="00AE20C4" w:rsidRDefault="003E2FDB">
      <w:pPr>
        <w:spacing w:line="360" w:lineRule="auto"/>
        <w:ind w:left="360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（二）专业潜质</w:t>
      </w:r>
    </w:p>
    <w:p w:rsidR="00AE20C4" w:rsidRDefault="003E2FDB">
      <w:pPr>
        <w:pStyle w:val="a3"/>
        <w:spacing w:line="360" w:lineRule="auto"/>
      </w:pPr>
      <w:r>
        <w:rPr>
          <w:rFonts w:hint="eastAsia"/>
        </w:rPr>
        <w:t>通过考官提问环节了解考生对专业的认知，以此来考察考生的语言表达能力、思维特征和专业兴趣，通过学生的语言表达、思维、创新能力及合作品质考核考生的专业潜质。</w:t>
      </w:r>
    </w:p>
    <w:p w:rsidR="00AE20C4" w:rsidRDefault="003E2FDB">
      <w:pPr>
        <w:pStyle w:val="a3"/>
        <w:spacing w:line="360" w:lineRule="auto"/>
        <w:ind w:firstLine="482"/>
        <w:rPr>
          <w:rFonts w:hAnsi="宋体"/>
        </w:rPr>
      </w:pPr>
      <w:r>
        <w:rPr>
          <w:rFonts w:hAnsi="宋体" w:hint="eastAsia"/>
          <w:b/>
        </w:rPr>
        <w:t>1.</w:t>
      </w:r>
      <w:r>
        <w:rPr>
          <w:rFonts w:hAnsi="宋体" w:hint="eastAsia"/>
          <w:b/>
        </w:rPr>
        <w:t>专业认知</w:t>
      </w:r>
      <w:r>
        <w:rPr>
          <w:rFonts w:hAnsi="宋体" w:hint="eastAsia"/>
        </w:rPr>
        <w:t xml:space="preserve">   </w:t>
      </w:r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</w:rPr>
        <w:t>了解</w:t>
      </w:r>
      <w:r>
        <w:rPr>
          <w:rFonts w:hAnsi="宋体" w:hint="eastAsia"/>
        </w:rPr>
        <w:t>工商企业管理</w:t>
      </w:r>
      <w:r>
        <w:rPr>
          <w:rFonts w:hAnsi="宋体" w:hint="eastAsia"/>
        </w:rPr>
        <w:t>专业基本面、专业的就业方向和部分就业岗位。</w:t>
      </w:r>
    </w:p>
    <w:p w:rsidR="00AE20C4" w:rsidRDefault="003E2FDB">
      <w:pPr>
        <w:pStyle w:val="a3"/>
        <w:spacing w:line="360" w:lineRule="auto"/>
        <w:ind w:firstLine="482"/>
        <w:rPr>
          <w:rFonts w:hAnsi="宋体"/>
        </w:rPr>
      </w:pPr>
      <w:r>
        <w:rPr>
          <w:rFonts w:hAnsi="宋体" w:hint="eastAsia"/>
          <w:b/>
        </w:rPr>
        <w:t>2.</w:t>
      </w:r>
      <w:r>
        <w:rPr>
          <w:rFonts w:hAnsi="宋体" w:hint="eastAsia"/>
          <w:b/>
        </w:rPr>
        <w:t>创新思维</w:t>
      </w:r>
      <w:r>
        <w:rPr>
          <w:rFonts w:hAnsi="宋体" w:hint="eastAsia"/>
          <w:b/>
        </w:rPr>
        <w:t xml:space="preserve"> </w:t>
      </w:r>
      <w:r>
        <w:rPr>
          <w:rFonts w:hAnsi="宋体" w:hint="eastAsia"/>
        </w:rPr>
        <w:t xml:space="preserve">  </w:t>
      </w:r>
    </w:p>
    <w:p w:rsidR="00AE20C4" w:rsidRDefault="003E2FDB">
      <w:pPr>
        <w:pStyle w:val="a3"/>
        <w:spacing w:line="360" w:lineRule="auto"/>
        <w:rPr>
          <w:rFonts w:hAnsi="宋体"/>
        </w:rPr>
      </w:pPr>
      <w:r>
        <w:rPr>
          <w:rFonts w:hAnsi="宋体" w:hint="eastAsia"/>
          <w:kern w:val="0"/>
        </w:rPr>
        <w:t>对</w:t>
      </w:r>
      <w:r>
        <w:rPr>
          <w:rFonts w:hAnsi="宋体" w:hint="eastAsia"/>
          <w:kern w:val="0"/>
        </w:rPr>
        <w:t>工商企业管理</w:t>
      </w:r>
      <w:r>
        <w:rPr>
          <w:rFonts w:hAnsi="宋体" w:hint="eastAsia"/>
          <w:kern w:val="0"/>
        </w:rPr>
        <w:t>专业涉及的案例能进行比较有见地或者有比较新颖的看法和观点，并能提出</w:t>
      </w:r>
      <w:proofErr w:type="gramStart"/>
      <w:r>
        <w:rPr>
          <w:rFonts w:hAnsi="宋体" w:hint="eastAsia"/>
          <w:kern w:val="0"/>
        </w:rPr>
        <w:t>较专业</w:t>
      </w:r>
      <w:proofErr w:type="gramEnd"/>
      <w:r>
        <w:rPr>
          <w:rFonts w:hAnsi="宋体" w:hint="eastAsia"/>
          <w:kern w:val="0"/>
        </w:rPr>
        <w:t>的解决问题的途径。</w:t>
      </w:r>
    </w:p>
    <w:p w:rsidR="00AE20C4" w:rsidRDefault="003E2FDB">
      <w:pPr>
        <w:spacing w:line="360" w:lineRule="auto"/>
        <w:ind w:left="1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二、面试形式和方法</w:t>
      </w:r>
    </w:p>
    <w:p w:rsidR="00AE20C4" w:rsidRDefault="003E2FD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（一）面试包含综合素质和专业潜质两部分，每部分各占时间：</w:t>
      </w:r>
      <w:r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分钟。</w:t>
      </w:r>
    </w:p>
    <w:p w:rsidR="00AE20C4" w:rsidRDefault="003E2FD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（二）先后进行综合素质和专业潜质测试。</w:t>
      </w:r>
    </w:p>
    <w:p w:rsidR="00AE20C4" w:rsidRDefault="003E2FDB">
      <w:pPr>
        <w:spacing w:line="360" w:lineRule="auto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三、评分标准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706"/>
        <w:gridCol w:w="707"/>
        <w:gridCol w:w="1407"/>
        <w:gridCol w:w="717"/>
        <w:gridCol w:w="5028"/>
      </w:tblGrid>
      <w:tr w:rsidR="00AE20C4">
        <w:trPr>
          <w:jc w:val="center"/>
        </w:trPr>
        <w:tc>
          <w:tcPr>
            <w:tcW w:w="783" w:type="dxa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706" w:type="dxa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面试模块</w:t>
            </w:r>
          </w:p>
        </w:tc>
        <w:tc>
          <w:tcPr>
            <w:tcW w:w="707" w:type="dxa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权重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模块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5028" w:type="dxa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评分标准</w:t>
            </w:r>
          </w:p>
        </w:tc>
      </w:tr>
      <w:tr w:rsidR="00AE20C4">
        <w:trPr>
          <w:jc w:val="center"/>
        </w:trPr>
        <w:tc>
          <w:tcPr>
            <w:tcW w:w="783" w:type="dxa"/>
            <w:vMerge w:val="restart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706" w:type="dxa"/>
            <w:vMerge w:val="restart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综合素质</w:t>
            </w:r>
          </w:p>
        </w:tc>
        <w:tc>
          <w:tcPr>
            <w:tcW w:w="707" w:type="dxa"/>
            <w:vMerge w:val="restart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心理素质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028" w:type="dxa"/>
            <w:vAlign w:val="center"/>
          </w:tcPr>
          <w:p w:rsidR="00AE20C4" w:rsidRDefault="003E2FD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活泼开朗，积极上进，有自信心，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能够冷静地处理问题，有一定的情绪调节和自控能力。</w:t>
            </w:r>
          </w:p>
        </w:tc>
      </w:tr>
      <w:tr w:rsidR="00AE20C4">
        <w:trPr>
          <w:jc w:val="center"/>
        </w:trPr>
        <w:tc>
          <w:tcPr>
            <w:tcW w:w="783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仪表仪态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028" w:type="dxa"/>
            <w:vAlign w:val="center"/>
          </w:tcPr>
          <w:p w:rsidR="00AE20C4" w:rsidRDefault="003E2FD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衣着整洁，仪表得体，符合职业特点；举止大方，姿态自然，肢体表达得当。</w:t>
            </w:r>
          </w:p>
        </w:tc>
      </w:tr>
      <w:tr w:rsidR="00AE20C4">
        <w:trPr>
          <w:jc w:val="center"/>
        </w:trPr>
        <w:tc>
          <w:tcPr>
            <w:tcW w:w="783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言语表达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5028" w:type="dxa"/>
            <w:vAlign w:val="center"/>
          </w:tcPr>
          <w:p w:rsidR="00AE20C4" w:rsidRDefault="003E2FDB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口齿清楚，语速适中，表达准确，简洁、流畅，能较准确地表达自己的观点，并能对提问做出恰当的回应。</w:t>
            </w:r>
          </w:p>
        </w:tc>
      </w:tr>
      <w:tr w:rsidR="00AE20C4">
        <w:trPr>
          <w:jc w:val="center"/>
        </w:trPr>
        <w:tc>
          <w:tcPr>
            <w:tcW w:w="783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思维品质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5028" w:type="dxa"/>
            <w:vAlign w:val="center"/>
          </w:tcPr>
          <w:p w:rsidR="00AE20C4" w:rsidRDefault="003E2FDB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能正确理解和分析问题，抓住要点，思维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灵活，条理清晰，逻辑性强，有较好的应变能力。</w:t>
            </w:r>
          </w:p>
        </w:tc>
      </w:tr>
      <w:tr w:rsidR="00AE20C4">
        <w:trPr>
          <w:trHeight w:val="140"/>
          <w:jc w:val="center"/>
        </w:trPr>
        <w:tc>
          <w:tcPr>
            <w:tcW w:w="783" w:type="dxa"/>
            <w:vMerge w:val="restart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706" w:type="dxa"/>
            <w:vMerge w:val="restart"/>
            <w:vAlign w:val="center"/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专业潜质</w:t>
            </w:r>
          </w:p>
        </w:tc>
        <w:tc>
          <w:tcPr>
            <w:tcW w:w="707" w:type="dxa"/>
            <w:vMerge w:val="restart"/>
            <w:vAlign w:val="center"/>
          </w:tcPr>
          <w:p w:rsidR="00AE20C4" w:rsidRDefault="003E2F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E20C4" w:rsidRDefault="003E2F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专业认知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E20C4" w:rsidRDefault="003E2FD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028" w:type="dxa"/>
          </w:tcPr>
          <w:p w:rsidR="00AE20C4" w:rsidRDefault="003E2FDB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了解</w:t>
            </w:r>
            <w:r>
              <w:rPr>
                <w:rFonts w:ascii="宋体" w:hAnsi="宋体" w:hint="eastAsia"/>
                <w:sz w:val="24"/>
              </w:rPr>
              <w:t>工商企业管理</w:t>
            </w:r>
            <w:r>
              <w:rPr>
                <w:rFonts w:ascii="宋体" w:hAnsi="宋体" w:hint="eastAsia"/>
                <w:sz w:val="24"/>
              </w:rPr>
              <w:t>专业基本面，基本知晓专业的就业方向。</w:t>
            </w:r>
          </w:p>
        </w:tc>
      </w:tr>
      <w:tr w:rsidR="00AE20C4">
        <w:trPr>
          <w:trHeight w:val="140"/>
          <w:jc w:val="center"/>
        </w:trPr>
        <w:tc>
          <w:tcPr>
            <w:tcW w:w="783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vMerge/>
            <w:vAlign w:val="center"/>
          </w:tcPr>
          <w:p w:rsidR="00AE20C4" w:rsidRDefault="00AE20C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创新思维</w:t>
            </w: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AE20C4" w:rsidRDefault="003E2FD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5028" w:type="dxa"/>
          </w:tcPr>
          <w:p w:rsidR="00AE20C4" w:rsidRDefault="003E2FDB">
            <w:pPr>
              <w:widowControl/>
              <w:spacing w:line="288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对</w:t>
            </w:r>
            <w:r>
              <w:rPr>
                <w:rFonts w:ascii="宋体" w:hAnsi="宋体" w:hint="eastAsia"/>
                <w:kern w:val="0"/>
                <w:sz w:val="24"/>
              </w:rPr>
              <w:t>工商企业管理</w:t>
            </w:r>
            <w:r>
              <w:rPr>
                <w:rFonts w:ascii="宋体" w:hAnsi="宋体" w:hint="eastAsia"/>
                <w:kern w:val="0"/>
                <w:sz w:val="24"/>
              </w:rPr>
              <w:t>专业涉及的案例能进行比较有见地或者有比较新颖的看法和观点，并能提出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较专业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的解决问题的途径</w:t>
            </w:r>
          </w:p>
        </w:tc>
      </w:tr>
    </w:tbl>
    <w:p w:rsidR="00AE20C4" w:rsidRDefault="003E2FDB">
      <w:pPr>
        <w:spacing w:line="360" w:lineRule="auto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四、面试试题举例</w:t>
      </w:r>
    </w:p>
    <w:p w:rsidR="00AE20C4" w:rsidRDefault="003E2FDB">
      <w:pPr>
        <w:widowControl/>
        <w:spacing w:line="288" w:lineRule="auto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 xml:space="preserve"> 1.</w:t>
      </w:r>
      <w:r>
        <w:rPr>
          <w:rFonts w:ascii="宋体" w:hAnsi="宋体" w:hint="eastAsia"/>
          <w:kern w:val="0"/>
          <w:sz w:val="24"/>
        </w:rPr>
        <w:t>列举一些日常生活中的管理内容及管理方式，并说明其意义；</w:t>
      </w:r>
    </w:p>
    <w:p w:rsidR="00AE20C4" w:rsidRDefault="003E2FDB">
      <w:pPr>
        <w:widowControl/>
        <w:spacing w:line="288" w:lineRule="auto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2.</w:t>
      </w:r>
      <w:r>
        <w:rPr>
          <w:rFonts w:ascii="宋体" w:hAnsi="宋体" w:hint="eastAsia"/>
          <w:kern w:val="0"/>
          <w:sz w:val="24"/>
        </w:rPr>
        <w:t>请问你如何看待社会上的假冒伪劣产品事件，你认为作为主管部门应该如何体现其管理职能？</w:t>
      </w:r>
    </w:p>
    <w:p w:rsidR="00AE20C4" w:rsidRDefault="003E2FDB">
      <w:pPr>
        <w:widowControl/>
        <w:spacing w:line="288" w:lineRule="auto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3.</w:t>
      </w:r>
      <w:r>
        <w:rPr>
          <w:rFonts w:ascii="宋体" w:hAnsi="宋体" w:hint="eastAsia"/>
          <w:kern w:val="0"/>
          <w:sz w:val="24"/>
        </w:rPr>
        <w:t>假如西游记中的师徒四人是一个团队，如何对每个人进行管理角色定位？</w:t>
      </w:r>
    </w:p>
    <w:p w:rsidR="00AE20C4" w:rsidRDefault="003E2FDB">
      <w:pPr>
        <w:widowControl/>
        <w:spacing w:line="288" w:lineRule="auto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>4.</w:t>
      </w:r>
      <w:r>
        <w:rPr>
          <w:rFonts w:ascii="宋体" w:hAnsi="宋体" w:hint="eastAsia"/>
          <w:sz w:val="24"/>
        </w:rPr>
        <w:t>近年有很多大陆游客在海外疯狂抢购冰箱、马桶等消费品，你认为如何才能改变游客在海外抢购的这种现状？</w:t>
      </w:r>
    </w:p>
    <w:p w:rsidR="00AE20C4" w:rsidRDefault="003E2FDB">
      <w:pPr>
        <w:spacing w:line="360" w:lineRule="auto"/>
        <w:ind w:left="1"/>
        <w:rPr>
          <w:rFonts w:ascii="黑体" w:eastAsia="黑体" w:hAnsi="宋体"/>
          <w:b/>
          <w:sz w:val="30"/>
          <w:szCs w:val="30"/>
        </w:rPr>
      </w:pP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>………</w:t>
      </w:r>
      <w:r>
        <w:rPr>
          <w:rFonts w:ascii="宋体" w:hAnsi="宋体" w:hint="eastAsia"/>
          <w:sz w:val="24"/>
        </w:rPr>
        <w:t xml:space="preserve"> </w:t>
      </w:r>
    </w:p>
    <w:p w:rsidR="00AE20C4" w:rsidRDefault="00AE20C4"/>
    <w:p w:rsidR="00AE20C4" w:rsidRDefault="00AE20C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:rsidR="00AE20C4" w:rsidRDefault="00AE20C4"/>
    <w:sectPr w:rsidR="00AE20C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DB" w:rsidRDefault="003E2FDB">
      <w:r>
        <w:separator/>
      </w:r>
    </w:p>
  </w:endnote>
  <w:endnote w:type="continuationSeparator" w:id="0">
    <w:p w:rsidR="003E2FDB" w:rsidRDefault="003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4" w:rsidRDefault="003E2FDB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E20C4" w:rsidRDefault="00AE20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C4" w:rsidRDefault="003E2FDB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D383A">
      <w:rPr>
        <w:rStyle w:val="a5"/>
        <w:noProof/>
      </w:rPr>
      <w:t>- 2 -</w:t>
    </w:r>
    <w:r>
      <w:fldChar w:fldCharType="end"/>
    </w:r>
  </w:p>
  <w:p w:rsidR="00AE20C4" w:rsidRDefault="00AE20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DB" w:rsidRDefault="003E2FDB">
      <w:r>
        <w:separator/>
      </w:r>
    </w:p>
  </w:footnote>
  <w:footnote w:type="continuationSeparator" w:id="0">
    <w:p w:rsidR="003E2FDB" w:rsidRDefault="003E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77B85"/>
    <w:rsid w:val="003E2FDB"/>
    <w:rsid w:val="005D383A"/>
    <w:rsid w:val="00AE20C4"/>
    <w:rsid w:val="03C5615D"/>
    <w:rsid w:val="0D9F2A47"/>
    <w:rsid w:val="11A129F2"/>
    <w:rsid w:val="12E67618"/>
    <w:rsid w:val="20AC0C6C"/>
    <w:rsid w:val="23977B85"/>
    <w:rsid w:val="34814A11"/>
    <w:rsid w:val="3BD77456"/>
    <w:rsid w:val="40A27200"/>
    <w:rsid w:val="4DBD2E0D"/>
    <w:rsid w:val="5B1C2717"/>
    <w:rsid w:val="5C7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宋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80"/>
    </w:pPr>
    <w:rPr>
      <w:rFonts w:ascii="宋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nyq</dc:creator>
  <cp:lastModifiedBy>qwsd</cp:lastModifiedBy>
  <cp:revision>2</cp:revision>
  <dcterms:created xsi:type="dcterms:W3CDTF">2017-01-16T00:02:00Z</dcterms:created>
  <dcterms:modified xsi:type="dcterms:W3CDTF">2017-01-17T09:24:00Z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